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3902" w14:textId="5C1FADD7" w:rsidR="0044159D" w:rsidRPr="00114938" w:rsidRDefault="0044159D" w:rsidP="0044159D">
      <w:pPr>
        <w:pStyle w:val="Heading2"/>
        <w:numPr>
          <w:ilvl w:val="0"/>
          <w:numId w:val="0"/>
        </w:numPr>
        <w:spacing w:line="269" w:lineRule="auto"/>
        <w:ind w:left="576" w:hanging="576"/>
        <w:rPr>
          <w:rFonts w:ascii="Calibri" w:hAnsi="Calibri"/>
          <w:lang w:val="pt-PT"/>
        </w:rPr>
      </w:pPr>
      <w:r w:rsidRPr="00C47876">
        <w:rPr>
          <w:rStyle w:val="Heading5Char"/>
          <w:lang w:bidi="es-ES"/>
        </w:rPr>
        <w:t>ÍNDICE DE DESARROLLO EN LA PRIMERA INFANCIA 2030 (ECDI2030)</w:t>
      </w:r>
    </w:p>
    <w:p w14:paraId="6F6ADF29" w14:textId="27719012" w:rsidR="0044159D" w:rsidRPr="00114938" w:rsidRDefault="0044159D" w:rsidP="0044159D">
      <w:pPr>
        <w:spacing w:before="100" w:after="200" w:line="240" w:lineRule="auto"/>
        <w:rPr>
          <w:rFonts w:ascii="Calibri" w:hAnsi="Calibri"/>
          <w:sz w:val="20"/>
          <w:lang w:val="pt-PT"/>
        </w:rPr>
      </w:pPr>
      <w:r w:rsidRPr="00C47876">
        <w:rPr>
          <w:sz w:val="20"/>
          <w:lang w:bidi="es-ES"/>
        </w:rPr>
        <w:t>El desarrollo en la primera infancia es un proceso multidimensional que implica una progresión ordenada de las habilidades y capacidades motoras, cognitivas, lingüísticas, socioemocionales y de control a lo largo de los primeros años de vida</w:t>
      </w:r>
      <w:r>
        <w:rPr>
          <w:rStyle w:val="FootnoteReference"/>
          <w:sz w:val="20"/>
          <w:lang w:bidi="es-ES"/>
        </w:rPr>
        <w:footnoteReference w:id="2"/>
      </w:r>
      <w:r w:rsidRPr="00C47876">
        <w:rPr>
          <w:sz w:val="20"/>
          <w:lang w:bidi="es-ES"/>
        </w:rPr>
        <w:t xml:space="preserve">. Aunque </w:t>
      </w:r>
      <w:r w:rsidR="00072588">
        <w:rPr>
          <w:sz w:val="20"/>
          <w:lang w:bidi="es-ES"/>
        </w:rPr>
        <w:t>estas capacidades se refieren a</w:t>
      </w:r>
      <w:r w:rsidRPr="00C47876">
        <w:rPr>
          <w:sz w:val="20"/>
          <w:lang w:bidi="es-ES"/>
        </w:rPr>
        <w:t xml:space="preserve"> dominios distintos del desarrollo en la primera infancia, </w:t>
      </w:r>
      <w:r w:rsidR="00072588">
        <w:rPr>
          <w:sz w:val="20"/>
          <w:lang w:bidi="es-ES"/>
        </w:rPr>
        <w:t xml:space="preserve">estos </w:t>
      </w:r>
      <w:r w:rsidRPr="00C47876">
        <w:rPr>
          <w:sz w:val="20"/>
          <w:lang w:bidi="es-ES"/>
        </w:rPr>
        <w:t xml:space="preserve">están interconectados. </w:t>
      </w:r>
      <w:r w:rsidR="00072588">
        <w:rPr>
          <w:sz w:val="20"/>
          <w:lang w:bidi="es-ES"/>
        </w:rPr>
        <w:t xml:space="preserve">Fomentar </w:t>
      </w:r>
      <w:r w:rsidR="00072588" w:rsidRPr="00C47876">
        <w:rPr>
          <w:sz w:val="20"/>
          <w:lang w:bidi="es-ES"/>
        </w:rPr>
        <w:t>y</w:t>
      </w:r>
      <w:r w:rsidRPr="00C47876">
        <w:rPr>
          <w:sz w:val="20"/>
          <w:lang w:bidi="es-ES"/>
        </w:rPr>
        <w:t xml:space="preserve"> apoyar todas estas dimensiones de forma holística es fundamental para garantizar que los niños puedan alcanzar su pleno potencial. El crecimiento físico, alfabetización y la adquisición de nociones elementales de aritmética, el desarrollo socioemocional y la preparación para el aprendizaje</w:t>
      </w:r>
      <w:r w:rsidR="009917F5" w:rsidRPr="00C47876" w:rsidDel="009917F5">
        <w:rPr>
          <w:sz w:val="20"/>
          <w:lang w:bidi="es-ES"/>
        </w:rPr>
        <w:t xml:space="preserve"> </w:t>
      </w:r>
      <w:r w:rsidR="009917F5">
        <w:rPr>
          <w:sz w:val="20"/>
          <w:lang w:bidi="es-ES"/>
        </w:rPr>
        <w:t>s</w:t>
      </w:r>
      <w:r w:rsidRPr="00C47876">
        <w:rPr>
          <w:sz w:val="20"/>
          <w:lang w:bidi="es-ES"/>
        </w:rPr>
        <w:t>ientan las bases para la salud, el aprendizaje y el bienestar a lo largo de la vida</w:t>
      </w:r>
      <w:r>
        <w:rPr>
          <w:rStyle w:val="FootnoteReference"/>
          <w:sz w:val="20"/>
          <w:lang w:bidi="es-ES"/>
        </w:rPr>
        <w:footnoteReference w:id="3"/>
      </w:r>
      <w:r w:rsidRPr="00C47876">
        <w:rPr>
          <w:sz w:val="20"/>
          <w:lang w:bidi="es-ES"/>
        </w:rPr>
        <w:t>.</w:t>
      </w:r>
    </w:p>
    <w:p w14:paraId="72001523" w14:textId="08A1DD73" w:rsidR="0044159D" w:rsidRPr="00114938" w:rsidRDefault="0044159D" w:rsidP="0044159D">
      <w:pPr>
        <w:spacing w:before="100" w:after="200" w:line="240" w:lineRule="auto"/>
        <w:rPr>
          <w:rFonts w:ascii="Calibri" w:hAnsi="Calibri"/>
          <w:sz w:val="20"/>
          <w:lang w:val="pt-PT"/>
        </w:rPr>
      </w:pPr>
      <w:r w:rsidRPr="00C47876">
        <w:rPr>
          <w:sz w:val="20"/>
          <w:lang w:bidi="es-ES"/>
        </w:rPr>
        <w:t xml:space="preserve">El módulo del Índice de </w:t>
      </w:r>
      <w:r w:rsidR="006E4C55">
        <w:rPr>
          <w:sz w:val="20"/>
          <w:lang w:bidi="es-ES"/>
        </w:rPr>
        <w:t>D</w:t>
      </w:r>
      <w:r w:rsidRPr="00C47876">
        <w:rPr>
          <w:sz w:val="20"/>
          <w:lang w:bidi="es-ES"/>
        </w:rPr>
        <w:t xml:space="preserve">esarrollo en la </w:t>
      </w:r>
      <w:r w:rsidR="006E4C55">
        <w:rPr>
          <w:sz w:val="20"/>
          <w:lang w:bidi="es-ES"/>
        </w:rPr>
        <w:t>P</w:t>
      </w:r>
      <w:r w:rsidRPr="00C47876">
        <w:rPr>
          <w:sz w:val="20"/>
          <w:lang w:bidi="es-ES"/>
        </w:rPr>
        <w:t xml:space="preserve">rimera </w:t>
      </w:r>
      <w:r w:rsidR="006E4C55">
        <w:rPr>
          <w:sz w:val="20"/>
          <w:lang w:bidi="es-ES"/>
        </w:rPr>
        <w:t>I</w:t>
      </w:r>
      <w:r w:rsidRPr="00C47876">
        <w:rPr>
          <w:sz w:val="20"/>
          <w:lang w:bidi="es-ES"/>
        </w:rPr>
        <w:t xml:space="preserve">nfancia 2030 (ECDI2030) capta el logro de los hitos clave en el desarrollo de los niños de entre 24 y 59 meses de edad. Los datos generados por el ECDI2030 pueden utilizarse para las labores de seguimiento y presentación de informes sobre el indicador 4.2.1 de los ODS, así como para fundamentar los esfuerzos gubernamentales encaminados a mejorar los resultados del desarrollo infantil. </w:t>
      </w:r>
    </w:p>
    <w:p w14:paraId="0837D9A0" w14:textId="4AB0D110" w:rsidR="0044159D" w:rsidRPr="00C47876" w:rsidRDefault="00072588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sz w:val="20"/>
          <w:lang w:bidi="es-ES"/>
        </w:rPr>
        <w:t>El m</w:t>
      </w:r>
      <w:r w:rsidR="00D906A6">
        <w:rPr>
          <w:sz w:val="20"/>
          <w:lang w:bidi="es-ES"/>
        </w:rPr>
        <w:t>ó</w:t>
      </w:r>
      <w:r>
        <w:rPr>
          <w:sz w:val="20"/>
          <w:lang w:bidi="es-ES"/>
        </w:rPr>
        <w:t>dulo</w:t>
      </w:r>
      <w:r w:rsidR="0044159D" w:rsidRPr="00C47876">
        <w:rPr>
          <w:sz w:val="20"/>
          <w:lang w:bidi="es-ES"/>
        </w:rPr>
        <w:t xml:space="preserve"> incluye 20 preguntas sobre el modo en que los niños se comportan en determinadas situaciones cotidianas y las habilidades y conocimientos que han adquirido. Las 20 preguntas se han organizado según los tres dominios generales de salud, aprendizaje y bienestar psicosocial</w:t>
      </w:r>
      <w:r>
        <w:rPr>
          <w:sz w:val="20"/>
          <w:lang w:bidi="es-ES"/>
        </w:rPr>
        <w:t>, y reflejan</w:t>
      </w:r>
      <w:r w:rsidRPr="00C47876">
        <w:rPr>
          <w:sz w:val="20"/>
          <w:lang w:bidi="es-ES"/>
        </w:rPr>
        <w:t xml:space="preserve"> la</w:t>
      </w:r>
      <w:r>
        <w:rPr>
          <w:sz w:val="20"/>
          <w:lang w:bidi="es-ES"/>
        </w:rPr>
        <w:t xml:space="preserve"> dificultad creciente de las</w:t>
      </w:r>
      <w:r w:rsidRPr="00C47876">
        <w:rPr>
          <w:sz w:val="20"/>
          <w:lang w:bidi="es-ES"/>
        </w:rPr>
        <w:t xml:space="preserve"> habilidades que los niños adquieren</w:t>
      </w:r>
      <w:r w:rsidR="009917F5">
        <w:rPr>
          <w:rStyle w:val="CommentReference"/>
        </w:rPr>
        <w:t>.</w:t>
      </w:r>
      <w:r w:rsidR="008213B7">
        <w:rPr>
          <w:sz w:val="20"/>
          <w:lang w:bidi="es-ES"/>
        </w:rPr>
        <w:t xml:space="preserve"> </w:t>
      </w:r>
      <w:r w:rsidR="0044159D" w:rsidRPr="00C47876">
        <w:rPr>
          <w:sz w:val="20"/>
          <w:lang w:bidi="es-ES"/>
        </w:rPr>
        <w:t xml:space="preserve">Se considera que el desarrollo de un niño </w:t>
      </w:r>
      <w:r w:rsidR="006E4C55">
        <w:rPr>
          <w:sz w:val="20"/>
          <w:lang w:bidi="es-ES"/>
        </w:rPr>
        <w:t>es adecuado</w:t>
      </w:r>
      <w:r w:rsidR="0044159D" w:rsidRPr="00C47876">
        <w:rPr>
          <w:sz w:val="20"/>
          <w:lang w:bidi="es-ES"/>
        </w:rPr>
        <w:t xml:space="preserve"> </w:t>
      </w:r>
      <w:r>
        <w:rPr>
          <w:sz w:val="20"/>
          <w:lang w:bidi="es-ES"/>
        </w:rPr>
        <w:t>si ha</w:t>
      </w:r>
      <w:r w:rsidR="0044159D" w:rsidRPr="00C47876">
        <w:rPr>
          <w:sz w:val="20"/>
          <w:lang w:bidi="es-ES"/>
        </w:rPr>
        <w:t xml:space="preserve"> alcanzado la cantidad mínima de hitos que se esperan de su grupo </w:t>
      </w:r>
      <w:r>
        <w:rPr>
          <w:sz w:val="20"/>
          <w:lang w:bidi="es-ES"/>
        </w:rPr>
        <w:t>de edad</w:t>
      </w:r>
      <w:r w:rsidR="0044159D" w:rsidRPr="00C47876">
        <w:rPr>
          <w:sz w:val="20"/>
          <w:lang w:bidi="es-ES"/>
        </w:rPr>
        <w:t>. Cada uno de los tres dominios generales está compuesto por un conjunto de subdominios básicos:</w:t>
      </w:r>
    </w:p>
    <w:p w14:paraId="61A496FB" w14:textId="5850FDB4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sz w:val="20"/>
          <w:lang w:bidi="es-ES"/>
        </w:rPr>
        <w:t>Subdominios de salud: motricidad gruesa, motricidad fina y autocuidado.</w:t>
      </w:r>
    </w:p>
    <w:p w14:paraId="0240FC72" w14:textId="77777777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sz w:val="20"/>
          <w:lang w:bidi="es-ES"/>
        </w:rPr>
        <w:t>Subdominios de aprendizaje: lenguaje expresivo, alfabetización, aritmética, preescritura y funcionamiento ejecutivo.</w:t>
      </w:r>
    </w:p>
    <w:p w14:paraId="12214C0D" w14:textId="53A94F67" w:rsidR="0044159D" w:rsidRPr="00C47876" w:rsidRDefault="0044159D" w:rsidP="0044159D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sz w:val="20"/>
          <w:lang w:bidi="es-ES"/>
        </w:rPr>
        <w:t xml:space="preserve">Subdominios de bienestar psicosocial: habilidades emocionales, habilidades sociales, conducta </w:t>
      </w:r>
      <w:proofErr w:type="spellStart"/>
      <w:r>
        <w:rPr>
          <w:sz w:val="20"/>
          <w:lang w:bidi="es-ES"/>
        </w:rPr>
        <w:t>internalizante</w:t>
      </w:r>
      <w:proofErr w:type="spellEnd"/>
      <w:r>
        <w:rPr>
          <w:sz w:val="20"/>
          <w:lang w:bidi="es-ES"/>
        </w:rPr>
        <w:t xml:space="preserve"> y conducta externalizante.</w:t>
      </w:r>
    </w:p>
    <w:p w14:paraId="226F4FC4" w14:textId="77777777" w:rsidR="0044159D" w:rsidRPr="00114938" w:rsidRDefault="0044159D" w:rsidP="0044159D">
      <w:pPr>
        <w:spacing w:after="0" w:line="240" w:lineRule="auto"/>
        <w:ind w:left="540"/>
        <w:rPr>
          <w:rFonts w:ascii="Calibri" w:hAnsi="Calibri"/>
          <w:sz w:val="20"/>
          <w:lang w:val="pt-PT"/>
        </w:rPr>
      </w:pPr>
      <w:r w:rsidRPr="00C47876">
        <w:rPr>
          <w:sz w:val="20"/>
          <w:lang w:bidi="es-ES"/>
        </w:rPr>
        <w:t> </w:t>
      </w:r>
    </w:p>
    <w:p w14:paraId="2353CFCC" w14:textId="53ACCE42" w:rsidR="0044159D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 w:rsidRPr="00C47876">
        <w:rPr>
          <w:sz w:val="20"/>
          <w:lang w:bidi="es-ES"/>
        </w:rPr>
        <w:t xml:space="preserve">El módulo del ECDI2030 no está diseñado para informar sobre cada dominio por separado. En cambio, está pensado para </w:t>
      </w:r>
      <w:r w:rsidR="00072588">
        <w:rPr>
          <w:sz w:val="20"/>
          <w:lang w:bidi="es-ES"/>
        </w:rPr>
        <w:t>generar un</w:t>
      </w:r>
      <w:r w:rsidR="00BA588C">
        <w:rPr>
          <w:sz w:val="20"/>
          <w:lang w:bidi="es-ES"/>
        </w:rPr>
        <w:t>a</w:t>
      </w:r>
      <w:r w:rsidR="00072588">
        <w:rPr>
          <w:sz w:val="20"/>
          <w:lang w:bidi="es-ES"/>
        </w:rPr>
        <w:t xml:space="preserve"> </w:t>
      </w:r>
      <w:r w:rsidR="00BA588C">
        <w:rPr>
          <w:sz w:val="20"/>
          <w:lang w:bidi="es-ES"/>
        </w:rPr>
        <w:t xml:space="preserve">puntuación </w:t>
      </w:r>
      <w:r w:rsidR="00072588">
        <w:rPr>
          <w:sz w:val="20"/>
          <w:lang w:bidi="es-ES"/>
        </w:rPr>
        <w:t>resumid</w:t>
      </w:r>
      <w:r w:rsidR="00BA588C">
        <w:rPr>
          <w:sz w:val="20"/>
          <w:lang w:bidi="es-ES"/>
        </w:rPr>
        <w:t>a</w:t>
      </w:r>
      <w:r w:rsidR="00072588" w:rsidRPr="00C47876">
        <w:rPr>
          <w:sz w:val="20"/>
          <w:lang w:bidi="es-ES"/>
        </w:rPr>
        <w:t xml:space="preserve"> que </w:t>
      </w:r>
      <w:r w:rsidR="00072588">
        <w:rPr>
          <w:sz w:val="20"/>
          <w:lang w:bidi="es-ES"/>
        </w:rPr>
        <w:t>plasme</w:t>
      </w:r>
      <w:r w:rsidR="00072588" w:rsidRPr="00C47876">
        <w:rPr>
          <w:sz w:val="20"/>
          <w:lang w:bidi="es-ES"/>
        </w:rPr>
        <w:t xml:space="preserve"> </w:t>
      </w:r>
      <w:r w:rsidRPr="00C47876">
        <w:rPr>
          <w:sz w:val="20"/>
          <w:lang w:bidi="es-ES"/>
        </w:rPr>
        <w:t>los conceptos de desarrollo interrelacionados incluidos en los tres dominios mencionados en el ODS 4.2.1</w:t>
      </w:r>
      <w:r>
        <w:rPr>
          <w:rStyle w:val="FootnoteReference"/>
          <w:sz w:val="20"/>
          <w:lang w:bidi="es-ES"/>
        </w:rPr>
        <w:footnoteReference w:id="4"/>
      </w:r>
      <w:r w:rsidRPr="00C47876">
        <w:rPr>
          <w:sz w:val="20"/>
          <w:lang w:bidi="es-ES"/>
        </w:rPr>
        <w:t xml:space="preserve">. </w:t>
      </w:r>
    </w:p>
    <w:p w14:paraId="6157846C" w14:textId="4896DEE7" w:rsidR="0044159D" w:rsidRPr="00C47876" w:rsidRDefault="0044159D" w:rsidP="0044159D">
      <w:pPr>
        <w:spacing w:before="100" w:after="20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sz w:val="20"/>
          <w:lang w:bidi="es-ES"/>
        </w:rPr>
        <w:t xml:space="preserve">El indicador obtenido a partir del módulo del ECDI2030 es el porcentaje de niños de entre 24 y 59 meses que han alcanzado la cantidad mínima de hitos que se esperan de su grupo </w:t>
      </w:r>
      <w:r w:rsidR="00072588">
        <w:rPr>
          <w:sz w:val="20"/>
          <w:lang w:bidi="es-ES"/>
        </w:rPr>
        <w:t>de edad</w:t>
      </w:r>
      <w:r>
        <w:rPr>
          <w:rStyle w:val="FootnoteReference"/>
          <w:sz w:val="20"/>
          <w:lang w:bidi="es-ES"/>
        </w:rPr>
        <w:footnoteReference w:id="5"/>
      </w:r>
      <w:r>
        <w:rPr>
          <w:sz w:val="20"/>
          <w:lang w:bidi="es-ES"/>
        </w:rPr>
        <w:t xml:space="preserve">. </w:t>
      </w:r>
    </w:p>
    <w:p w14:paraId="75800FBA" w14:textId="593405F0" w:rsidR="0044159D" w:rsidRPr="00072588" w:rsidRDefault="0044159D" w:rsidP="0044159D">
      <w:pPr>
        <w:spacing w:before="100" w:after="200" w:line="240" w:lineRule="auto"/>
        <w:jc w:val="center"/>
        <w:rPr>
          <w:rFonts w:ascii="Calibri" w:hAnsi="Calibri"/>
          <w:color w:val="FF0000"/>
          <w:sz w:val="20"/>
        </w:rPr>
      </w:pPr>
    </w:p>
    <w:p w14:paraId="488C7B34" w14:textId="77777777" w:rsidR="000009A0" w:rsidRDefault="000009A0"/>
    <w:sectPr w:rsidR="00000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EED3" w14:textId="77777777" w:rsidR="001761E6" w:rsidRDefault="001761E6" w:rsidP="0044159D">
      <w:pPr>
        <w:spacing w:after="0" w:line="240" w:lineRule="auto"/>
      </w:pPr>
      <w:r>
        <w:separator/>
      </w:r>
    </w:p>
  </w:endnote>
  <w:endnote w:type="continuationSeparator" w:id="0">
    <w:p w14:paraId="0D7A285C" w14:textId="77777777" w:rsidR="001761E6" w:rsidRDefault="001761E6" w:rsidP="0044159D">
      <w:pPr>
        <w:spacing w:after="0" w:line="240" w:lineRule="auto"/>
      </w:pPr>
      <w:r>
        <w:continuationSeparator/>
      </w:r>
    </w:p>
  </w:endnote>
  <w:endnote w:type="continuationNotice" w:id="1">
    <w:p w14:paraId="7CB67399" w14:textId="77777777" w:rsidR="001761E6" w:rsidRDefault="0017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8905" w14:textId="77777777" w:rsidR="007A5B55" w:rsidRDefault="007A5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DFB7" w14:textId="77777777" w:rsidR="001761E6" w:rsidRDefault="001761E6" w:rsidP="0044159D">
      <w:pPr>
        <w:spacing w:after="0" w:line="240" w:lineRule="auto"/>
      </w:pPr>
      <w:r>
        <w:separator/>
      </w:r>
    </w:p>
  </w:footnote>
  <w:footnote w:type="continuationSeparator" w:id="0">
    <w:p w14:paraId="52C26C8F" w14:textId="77777777" w:rsidR="001761E6" w:rsidRDefault="001761E6" w:rsidP="0044159D">
      <w:pPr>
        <w:spacing w:after="0" w:line="240" w:lineRule="auto"/>
      </w:pPr>
      <w:r>
        <w:continuationSeparator/>
      </w:r>
    </w:p>
  </w:footnote>
  <w:footnote w:type="continuationNotice" w:id="1">
    <w:p w14:paraId="291AE50F" w14:textId="77777777" w:rsidR="001761E6" w:rsidRDefault="001761E6">
      <w:pPr>
        <w:spacing w:after="0" w:line="240" w:lineRule="auto"/>
      </w:pPr>
    </w:p>
  </w:footnote>
  <w:footnote w:id="2">
    <w:p w14:paraId="07D346A5" w14:textId="3BD4B25D" w:rsidR="0044159D" w:rsidRPr="009E2BDA" w:rsidRDefault="0044159D" w:rsidP="0044159D">
      <w:pPr>
        <w:spacing w:after="0" w:line="240" w:lineRule="auto"/>
        <w:jc w:val="both"/>
        <w:rPr>
          <w:rFonts w:ascii="Calibri" w:hAnsi="Calibri"/>
          <w:sz w:val="18"/>
          <w:lang w:val="en-GB"/>
        </w:rPr>
      </w:pPr>
      <w:r w:rsidRPr="0044159D">
        <w:rPr>
          <w:rStyle w:val="FootnoteReference"/>
          <w:sz w:val="18"/>
          <w:lang w:bidi="es-ES"/>
        </w:rPr>
        <w:footnoteRef/>
      </w:r>
      <w:r w:rsidRPr="009E2BDA">
        <w:rPr>
          <w:sz w:val="18"/>
          <w:lang w:val="en-GB"/>
        </w:rPr>
        <w:t xml:space="preserve"> UNICEF </w:t>
      </w:r>
      <w:r w:rsidRPr="009E2BDA">
        <w:rPr>
          <w:i/>
          <w:sz w:val="18"/>
          <w:lang w:val="en-GB"/>
        </w:rPr>
        <w:t>et al</w:t>
      </w:r>
      <w:r w:rsidRPr="009E2BDA">
        <w:rPr>
          <w:sz w:val="18"/>
          <w:lang w:val="en-GB"/>
        </w:rPr>
        <w:t>. “Advancing Early Childhood Development:</w:t>
      </w:r>
      <w:r w:rsidRPr="009E2BDA">
        <w:rPr>
          <w:i/>
          <w:sz w:val="18"/>
          <w:lang w:val="en-GB"/>
        </w:rPr>
        <w:t xml:space="preserve"> </w:t>
      </w:r>
      <w:r w:rsidRPr="009E2BDA">
        <w:rPr>
          <w:sz w:val="18"/>
          <w:lang w:val="en-GB"/>
        </w:rPr>
        <w:t>From Science to Scale”.</w:t>
      </w:r>
      <w:r w:rsidRPr="009E2BDA">
        <w:rPr>
          <w:i/>
          <w:sz w:val="18"/>
          <w:lang w:val="en-GB"/>
        </w:rPr>
        <w:t xml:space="preserve"> </w:t>
      </w:r>
      <w:proofErr w:type="spellStart"/>
      <w:r w:rsidRPr="009E2BDA">
        <w:rPr>
          <w:sz w:val="18"/>
          <w:lang w:val="en-GB"/>
        </w:rPr>
        <w:t>Resumen</w:t>
      </w:r>
      <w:proofErr w:type="spellEnd"/>
      <w:r w:rsidRPr="009E2BDA">
        <w:rPr>
          <w:sz w:val="18"/>
          <w:lang w:val="en-GB"/>
        </w:rPr>
        <w:t xml:space="preserve">, </w:t>
      </w:r>
      <w:r w:rsidRPr="009E2BDA">
        <w:rPr>
          <w:i/>
          <w:sz w:val="18"/>
          <w:lang w:val="en-GB"/>
        </w:rPr>
        <w:t>The Lancet</w:t>
      </w:r>
      <w:r w:rsidRPr="009E2BDA">
        <w:rPr>
          <w:sz w:val="18"/>
          <w:lang w:val="en-GB"/>
        </w:rPr>
        <w:t xml:space="preserve">, 2016. </w:t>
      </w:r>
      <w:r w:rsidR="001761E6">
        <w:fldChar w:fldCharType="begin"/>
      </w:r>
      <w:r w:rsidR="001761E6" w:rsidRPr="00BA588C">
        <w:rPr>
          <w:lang w:val="en-GB"/>
        </w:rPr>
        <w:instrText xml:space="preserve"> HYPERLINK "https://www.thelancet.com/pb-assets/Lancet/stories/series/ecd/Lancet_ECD_Executive_Summary.pdf." </w:instrText>
      </w:r>
      <w:r w:rsidR="001761E6">
        <w:fldChar w:fldCharType="separate"/>
      </w:r>
      <w:r w:rsidRPr="009E2BDA">
        <w:rPr>
          <w:color w:val="0000FF"/>
          <w:sz w:val="18"/>
          <w:u w:val="single"/>
          <w:lang w:val="en-GB"/>
        </w:rPr>
        <w:t>https://www.thelancet.com/pb-assets/Lancet/stories/series/ecd/Lancet_ECD_Executive_Summary.pdf.</w:t>
      </w:r>
      <w:r w:rsidR="001761E6">
        <w:rPr>
          <w:color w:val="0000FF"/>
          <w:sz w:val="18"/>
          <w:u w:val="single"/>
          <w:lang w:val="en-GB"/>
        </w:rPr>
        <w:fldChar w:fldCharType="end"/>
      </w:r>
    </w:p>
  </w:footnote>
  <w:footnote w:id="3">
    <w:p w14:paraId="4F49E755" w14:textId="77777777" w:rsidR="0044159D" w:rsidRPr="0044159D" w:rsidRDefault="0044159D" w:rsidP="0044159D">
      <w:pPr>
        <w:pStyle w:val="FootnoteText"/>
        <w:jc w:val="both"/>
        <w:rPr>
          <w:sz w:val="18"/>
          <w:szCs w:val="18"/>
        </w:rPr>
      </w:pPr>
      <w:r w:rsidRPr="0044159D">
        <w:rPr>
          <w:rStyle w:val="FootnoteReference"/>
          <w:sz w:val="18"/>
          <w:lang w:bidi="es-ES"/>
        </w:rPr>
        <w:footnoteRef/>
      </w:r>
      <w:r w:rsidRPr="009E2BDA">
        <w:rPr>
          <w:sz w:val="18"/>
          <w:lang w:val="en-GB"/>
        </w:rPr>
        <w:t xml:space="preserve"> Shonkoff, J., y D. Phillips. </w:t>
      </w:r>
      <w:r w:rsidRPr="009E2BDA">
        <w:rPr>
          <w:i/>
          <w:sz w:val="18"/>
          <w:lang w:val="en-GB"/>
        </w:rPr>
        <w:t xml:space="preserve">From Neurons to </w:t>
      </w:r>
      <w:proofErr w:type="spellStart"/>
      <w:r w:rsidRPr="009E2BDA">
        <w:rPr>
          <w:i/>
          <w:sz w:val="18"/>
          <w:lang w:val="en-GB"/>
        </w:rPr>
        <w:t>Neighborhoods</w:t>
      </w:r>
      <w:proofErr w:type="spellEnd"/>
      <w:r w:rsidRPr="009E2BDA">
        <w:rPr>
          <w:i/>
          <w:sz w:val="18"/>
          <w:lang w:val="en-GB"/>
        </w:rPr>
        <w:t>: The Science of Early Childhood Development</w:t>
      </w:r>
      <w:r w:rsidRPr="009E2BDA">
        <w:rPr>
          <w:sz w:val="18"/>
          <w:lang w:val="en-GB"/>
        </w:rPr>
        <w:t xml:space="preserve">. </w:t>
      </w:r>
      <w:r w:rsidRPr="0044159D">
        <w:rPr>
          <w:sz w:val="18"/>
          <w:lang w:bidi="es-ES"/>
        </w:rPr>
        <w:t xml:space="preserve">Washington, D.C.: </w:t>
      </w:r>
      <w:proofErr w:type="spellStart"/>
      <w:r w:rsidRPr="0044159D">
        <w:rPr>
          <w:sz w:val="18"/>
          <w:lang w:bidi="es-ES"/>
        </w:rPr>
        <w:t>National</w:t>
      </w:r>
      <w:proofErr w:type="spellEnd"/>
      <w:r w:rsidRPr="0044159D">
        <w:rPr>
          <w:sz w:val="18"/>
          <w:lang w:bidi="es-ES"/>
        </w:rPr>
        <w:t xml:space="preserve"> </w:t>
      </w:r>
      <w:proofErr w:type="spellStart"/>
      <w:r w:rsidRPr="0044159D">
        <w:rPr>
          <w:sz w:val="18"/>
          <w:lang w:bidi="es-ES"/>
        </w:rPr>
        <w:t>Academy</w:t>
      </w:r>
      <w:proofErr w:type="spellEnd"/>
      <w:r w:rsidRPr="0044159D">
        <w:rPr>
          <w:sz w:val="18"/>
          <w:lang w:bidi="es-ES"/>
        </w:rPr>
        <w:t xml:space="preserve"> </w:t>
      </w:r>
      <w:proofErr w:type="spellStart"/>
      <w:r w:rsidRPr="0044159D">
        <w:rPr>
          <w:sz w:val="18"/>
          <w:lang w:bidi="es-ES"/>
        </w:rPr>
        <w:t>Press</w:t>
      </w:r>
      <w:proofErr w:type="spellEnd"/>
      <w:r w:rsidRPr="0044159D">
        <w:rPr>
          <w:sz w:val="18"/>
          <w:lang w:bidi="es-ES"/>
        </w:rPr>
        <w:t xml:space="preserve">, 2000; Fondo de las Naciones Unidas para la Infancia, </w:t>
      </w:r>
      <w:proofErr w:type="spellStart"/>
      <w:r w:rsidRPr="0044159D">
        <w:rPr>
          <w:i/>
          <w:sz w:val="18"/>
          <w:lang w:bidi="es-ES"/>
        </w:rPr>
        <w:t>Early</w:t>
      </w:r>
      <w:proofErr w:type="spellEnd"/>
      <w:r w:rsidRPr="0044159D">
        <w:rPr>
          <w:i/>
          <w:sz w:val="18"/>
          <w:lang w:bidi="es-ES"/>
        </w:rPr>
        <w:t xml:space="preserve"> </w:t>
      </w:r>
      <w:proofErr w:type="spellStart"/>
      <w:r w:rsidRPr="0044159D">
        <w:rPr>
          <w:i/>
          <w:sz w:val="18"/>
          <w:lang w:bidi="es-ES"/>
        </w:rPr>
        <w:t>Moments</w:t>
      </w:r>
      <w:proofErr w:type="spellEnd"/>
      <w:r w:rsidRPr="0044159D">
        <w:rPr>
          <w:i/>
          <w:sz w:val="18"/>
          <w:lang w:bidi="es-ES"/>
        </w:rPr>
        <w:t xml:space="preserve"> </w:t>
      </w:r>
      <w:proofErr w:type="spellStart"/>
      <w:r w:rsidRPr="0044159D">
        <w:rPr>
          <w:i/>
          <w:sz w:val="18"/>
          <w:lang w:bidi="es-ES"/>
        </w:rPr>
        <w:t>Matter</w:t>
      </w:r>
      <w:proofErr w:type="spellEnd"/>
      <w:r w:rsidRPr="0044159D">
        <w:rPr>
          <w:sz w:val="18"/>
          <w:lang w:bidi="es-ES"/>
        </w:rPr>
        <w:t>, Nueva York: UNICEF, 2017.</w:t>
      </w:r>
    </w:p>
  </w:footnote>
  <w:footnote w:id="4">
    <w:p w14:paraId="613C74FA" w14:textId="7EF914D9" w:rsidR="0044159D" w:rsidRPr="0044159D" w:rsidRDefault="0044159D" w:rsidP="0044159D">
      <w:pPr>
        <w:pStyle w:val="FootnoteText"/>
        <w:jc w:val="both"/>
        <w:rPr>
          <w:sz w:val="18"/>
          <w:szCs w:val="18"/>
        </w:rPr>
      </w:pPr>
      <w:r w:rsidRPr="0044159D">
        <w:rPr>
          <w:rStyle w:val="FootnoteReference"/>
          <w:sz w:val="18"/>
          <w:lang w:bidi="es-ES"/>
        </w:rPr>
        <w:footnoteRef/>
      </w:r>
      <w:r w:rsidRPr="0044159D">
        <w:rPr>
          <w:sz w:val="18"/>
          <w:lang w:bidi="es-ES"/>
        </w:rPr>
        <w:t xml:space="preserve"> Para obtener más información sobre el desarrollo del módulo del ECDI2030 y el indicador </w:t>
      </w:r>
      <w:r w:rsidR="00CD67D5">
        <w:rPr>
          <w:sz w:val="18"/>
          <w:lang w:bidi="es-ES"/>
        </w:rPr>
        <w:t>relacionado</w:t>
      </w:r>
      <w:r w:rsidRPr="0044159D">
        <w:rPr>
          <w:sz w:val="18"/>
          <w:lang w:bidi="es-ES"/>
        </w:rPr>
        <w:t xml:space="preserve">, véase “ECDI2030 </w:t>
      </w:r>
      <w:proofErr w:type="spellStart"/>
      <w:r w:rsidRPr="0044159D">
        <w:rPr>
          <w:sz w:val="18"/>
          <w:lang w:bidi="es-ES"/>
        </w:rPr>
        <w:t>Frequently</w:t>
      </w:r>
      <w:proofErr w:type="spellEnd"/>
      <w:r w:rsidRPr="0044159D">
        <w:rPr>
          <w:sz w:val="18"/>
          <w:lang w:bidi="es-ES"/>
        </w:rPr>
        <w:t xml:space="preserve"> </w:t>
      </w:r>
      <w:proofErr w:type="spellStart"/>
      <w:r w:rsidRPr="0044159D">
        <w:rPr>
          <w:sz w:val="18"/>
          <w:lang w:bidi="es-ES"/>
        </w:rPr>
        <w:t>Asked</w:t>
      </w:r>
      <w:proofErr w:type="spellEnd"/>
      <w:r w:rsidRPr="0044159D">
        <w:rPr>
          <w:sz w:val="18"/>
          <w:lang w:bidi="es-ES"/>
        </w:rPr>
        <w:t xml:space="preserve"> </w:t>
      </w:r>
      <w:proofErr w:type="spellStart"/>
      <w:r w:rsidRPr="0044159D">
        <w:rPr>
          <w:sz w:val="18"/>
          <w:lang w:bidi="es-ES"/>
        </w:rPr>
        <w:t>Questions</w:t>
      </w:r>
      <w:proofErr w:type="spellEnd"/>
      <w:r w:rsidRPr="0044159D">
        <w:rPr>
          <w:sz w:val="18"/>
          <w:lang w:bidi="es-ES"/>
        </w:rPr>
        <w:t xml:space="preserve">” [Preguntas frecuentes sobre el ECDI2030]: </w:t>
      </w:r>
      <w:hyperlink r:id="rId1" w:history="1">
        <w:r w:rsidRPr="0044159D">
          <w:rPr>
            <w:rStyle w:val="Hyperlink"/>
            <w:sz w:val="18"/>
            <w:lang w:bidi="es-ES"/>
          </w:rPr>
          <w:t>https://data.unicef.org/resources/early-childhood-development-index-2030-ecdi2030/</w:t>
        </w:r>
      </w:hyperlink>
      <w:r w:rsidRPr="0044159D">
        <w:rPr>
          <w:sz w:val="18"/>
          <w:lang w:bidi="es-ES"/>
        </w:rPr>
        <w:t xml:space="preserve"> </w:t>
      </w:r>
    </w:p>
  </w:footnote>
  <w:footnote w:id="5">
    <w:p w14:paraId="67609780" w14:textId="14626229" w:rsidR="0044159D" w:rsidRPr="007B38F6" w:rsidRDefault="0044159D" w:rsidP="0044159D">
      <w:pPr>
        <w:pStyle w:val="FootnoteText"/>
        <w:jc w:val="both"/>
        <w:rPr>
          <w:sz w:val="18"/>
          <w:szCs w:val="18"/>
        </w:rPr>
      </w:pPr>
      <w:r w:rsidRPr="0044159D">
        <w:rPr>
          <w:rStyle w:val="FootnoteReference"/>
          <w:sz w:val="18"/>
          <w:lang w:bidi="es-ES"/>
        </w:rPr>
        <w:footnoteRef/>
      </w:r>
      <w:r w:rsidRPr="0044159D">
        <w:rPr>
          <w:sz w:val="18"/>
          <w:lang w:bidi="es-ES"/>
        </w:rPr>
        <w:t xml:space="preserve"> El indicador generado por el módulo del ECDI2030 no es totalmente comparable al generado por el módulo del ECDI que se </w:t>
      </w:r>
      <w:r w:rsidR="00072588">
        <w:rPr>
          <w:sz w:val="18"/>
          <w:lang w:bidi="es-ES"/>
        </w:rPr>
        <w:t>incluyó</w:t>
      </w:r>
      <w:r w:rsidR="00072588" w:rsidRPr="0044159D">
        <w:rPr>
          <w:sz w:val="18"/>
          <w:lang w:bidi="es-ES"/>
        </w:rPr>
        <w:t xml:space="preserve"> </w:t>
      </w:r>
      <w:r w:rsidRPr="0044159D">
        <w:rPr>
          <w:sz w:val="18"/>
          <w:lang w:bidi="es-ES"/>
        </w:rPr>
        <w:t xml:space="preserve">en las encuestas de indicadores múltiples por conglomerados (MICS) en 2009. Para obtener más información, véase "ECDI2030 </w:t>
      </w:r>
      <w:proofErr w:type="spellStart"/>
      <w:r w:rsidRPr="0044159D">
        <w:rPr>
          <w:sz w:val="18"/>
          <w:lang w:bidi="es-ES"/>
        </w:rPr>
        <w:t>Frequently</w:t>
      </w:r>
      <w:proofErr w:type="spellEnd"/>
      <w:r w:rsidRPr="0044159D">
        <w:rPr>
          <w:sz w:val="18"/>
          <w:lang w:bidi="es-ES"/>
        </w:rPr>
        <w:t xml:space="preserve"> </w:t>
      </w:r>
      <w:proofErr w:type="spellStart"/>
      <w:r w:rsidRPr="0044159D">
        <w:rPr>
          <w:sz w:val="18"/>
          <w:lang w:bidi="es-ES"/>
        </w:rPr>
        <w:t>Asked</w:t>
      </w:r>
      <w:proofErr w:type="spellEnd"/>
      <w:r w:rsidRPr="0044159D">
        <w:rPr>
          <w:sz w:val="18"/>
          <w:lang w:bidi="es-ES"/>
        </w:rPr>
        <w:t xml:space="preserve"> </w:t>
      </w:r>
      <w:proofErr w:type="spellStart"/>
      <w:r w:rsidRPr="0044159D">
        <w:rPr>
          <w:sz w:val="18"/>
          <w:lang w:bidi="es-ES"/>
        </w:rPr>
        <w:t>Questions</w:t>
      </w:r>
      <w:proofErr w:type="spellEnd"/>
      <w:r w:rsidRPr="0044159D">
        <w:rPr>
          <w:sz w:val="18"/>
          <w:lang w:bidi="es-ES"/>
        </w:rPr>
        <w:t>" [Preguntas frecuentes sobre el ECDI2030].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5055" w14:textId="77777777" w:rsidR="007A5B55" w:rsidRDefault="007A5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46A1"/>
    <w:multiLevelType w:val="multilevel"/>
    <w:tmpl w:val="B4C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8793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604DF8"/>
    <w:multiLevelType w:val="multilevel"/>
    <w:tmpl w:val="DCC61880"/>
    <w:lvl w:ilvl="0">
      <w:start w:val="7"/>
      <w:numFmt w:val="decimal"/>
      <w:lvlText w:val="%1"/>
      <w:lvlJc w:val="left"/>
      <w:pPr>
        <w:ind w:left="420" w:hanging="4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000000" w:themeColor="text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9D"/>
    <w:rsid w:val="000009A0"/>
    <w:rsid w:val="00072588"/>
    <w:rsid w:val="000F5AAA"/>
    <w:rsid w:val="00114938"/>
    <w:rsid w:val="001352D6"/>
    <w:rsid w:val="001761E6"/>
    <w:rsid w:val="00282ED9"/>
    <w:rsid w:val="00302C2B"/>
    <w:rsid w:val="00396AAB"/>
    <w:rsid w:val="0044159D"/>
    <w:rsid w:val="00442F8A"/>
    <w:rsid w:val="005140EF"/>
    <w:rsid w:val="00521C08"/>
    <w:rsid w:val="006E4C55"/>
    <w:rsid w:val="0071190E"/>
    <w:rsid w:val="00791824"/>
    <w:rsid w:val="007A5B55"/>
    <w:rsid w:val="007E17B9"/>
    <w:rsid w:val="007F754A"/>
    <w:rsid w:val="008177C5"/>
    <w:rsid w:val="008213B7"/>
    <w:rsid w:val="0083212B"/>
    <w:rsid w:val="008513FC"/>
    <w:rsid w:val="008565B2"/>
    <w:rsid w:val="008945C4"/>
    <w:rsid w:val="009917F5"/>
    <w:rsid w:val="009E2BDA"/>
    <w:rsid w:val="00AB4E68"/>
    <w:rsid w:val="00B327EE"/>
    <w:rsid w:val="00BA588C"/>
    <w:rsid w:val="00C5442F"/>
    <w:rsid w:val="00CA1AFE"/>
    <w:rsid w:val="00CD67D5"/>
    <w:rsid w:val="00CE230A"/>
    <w:rsid w:val="00CF3371"/>
    <w:rsid w:val="00D159BC"/>
    <w:rsid w:val="00D906A6"/>
    <w:rsid w:val="00D90DD5"/>
    <w:rsid w:val="00E94F59"/>
    <w:rsid w:val="00EF20C4"/>
    <w:rsid w:val="00F13383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1031"/>
  <w15:chartTrackingRefBased/>
  <w15:docId w15:val="{7CCAFBEB-9A79-4CAA-9B8B-D51EAB8E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9D"/>
  </w:style>
  <w:style w:type="paragraph" w:styleId="Heading1">
    <w:name w:val="heading 1"/>
    <w:basedOn w:val="Normal"/>
    <w:next w:val="Normal"/>
    <w:link w:val="Heading1Char"/>
    <w:uiPriority w:val="9"/>
    <w:qFormat/>
    <w:rsid w:val="0044159D"/>
    <w:pPr>
      <w:numPr>
        <w:numId w:val="2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59D"/>
    <w:pPr>
      <w:numPr>
        <w:ilvl w:val="1"/>
        <w:numId w:val="2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59D"/>
    <w:pPr>
      <w:numPr>
        <w:ilvl w:val="2"/>
        <w:numId w:val="2"/>
      </w:num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59D"/>
    <w:pPr>
      <w:numPr>
        <w:ilvl w:val="3"/>
        <w:numId w:val="2"/>
      </w:num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59D"/>
    <w:pPr>
      <w:numPr>
        <w:ilvl w:val="4"/>
        <w:numId w:val="2"/>
      </w:num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59D"/>
    <w:pPr>
      <w:numPr>
        <w:ilvl w:val="5"/>
        <w:numId w:val="2"/>
      </w:num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59D"/>
    <w:pPr>
      <w:numPr>
        <w:ilvl w:val="6"/>
        <w:numId w:val="2"/>
      </w:numPr>
      <w:spacing w:before="200" w:after="0" w:line="276" w:lineRule="auto"/>
      <w:outlineLvl w:val="6"/>
    </w:pPr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59D"/>
    <w:pPr>
      <w:numPr>
        <w:ilvl w:val="7"/>
        <w:numId w:val="2"/>
      </w:num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59D"/>
    <w:pPr>
      <w:numPr>
        <w:ilvl w:val="8"/>
        <w:numId w:val="2"/>
      </w:num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59D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4159D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59D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59D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59D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59D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59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5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5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5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55"/>
  </w:style>
  <w:style w:type="paragraph" w:styleId="Footer">
    <w:name w:val="footer"/>
    <w:basedOn w:val="Normal"/>
    <w:link w:val="FooterChar"/>
    <w:uiPriority w:val="99"/>
    <w:unhideWhenUsed/>
    <w:rsid w:val="007A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55"/>
  </w:style>
  <w:style w:type="paragraph" w:styleId="Revision">
    <w:name w:val="Revision"/>
    <w:hidden/>
    <w:uiPriority w:val="99"/>
    <w:semiHidden/>
    <w:rsid w:val="0007258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4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93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unicef.org/resources/early-childhood-development-index-2030-ecdi20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Petrowski</dc:creator>
  <cp:keywords/>
  <dc:description/>
  <cp:lastModifiedBy>Spanish Team</cp:lastModifiedBy>
  <cp:revision>2</cp:revision>
  <dcterms:created xsi:type="dcterms:W3CDTF">2022-01-21T09:08:00Z</dcterms:created>
  <dcterms:modified xsi:type="dcterms:W3CDTF">2022-01-21T09:08:00Z</dcterms:modified>
</cp:coreProperties>
</file>